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BC215" w14:textId="77777777" w:rsidR="00B00E9B" w:rsidRDefault="00602F2C">
      <w:pPr>
        <w:widowControl/>
        <w:spacing w:line="259" w:lineRule="auto"/>
        <w:jc w:val="center"/>
        <w:rPr>
          <w:rFonts w:cs="Times New Roman"/>
          <w:b/>
          <w:kern w:val="0"/>
          <w:sz w:val="22"/>
          <w:szCs w:val="22"/>
        </w:rPr>
      </w:pPr>
      <w:r>
        <w:rPr>
          <w:rFonts w:cs="Times New Roman"/>
          <w:b/>
          <w:kern w:val="0"/>
          <w:sz w:val="22"/>
          <w:szCs w:val="22"/>
        </w:rPr>
        <w:t>Chidham Hambrook Nutbourne East</w:t>
      </w:r>
    </w:p>
    <w:p w14:paraId="66E173C5" w14:textId="77777777" w:rsidR="00B00E9B" w:rsidRDefault="00602F2C">
      <w:pPr>
        <w:widowControl/>
        <w:spacing w:line="259" w:lineRule="auto"/>
        <w:jc w:val="center"/>
        <w:rPr>
          <w:rFonts w:cs="Times New Roman"/>
          <w:b/>
          <w:kern w:val="0"/>
          <w:sz w:val="22"/>
          <w:szCs w:val="22"/>
        </w:rPr>
      </w:pPr>
      <w:r>
        <w:rPr>
          <w:rFonts w:cs="Times New Roman"/>
          <w:b/>
          <w:kern w:val="0"/>
          <w:sz w:val="22"/>
          <w:szCs w:val="22"/>
        </w:rPr>
        <w:t xml:space="preserve">Neighbourhood Plan Steering Group </w:t>
      </w:r>
    </w:p>
    <w:p w14:paraId="72234C17" w14:textId="77777777" w:rsidR="00B00E9B" w:rsidRDefault="00602F2C">
      <w:pPr>
        <w:widowControl/>
        <w:spacing w:line="259" w:lineRule="auto"/>
        <w:jc w:val="center"/>
        <w:rPr>
          <w:rFonts w:cs="Times New Roman"/>
          <w:b/>
          <w:kern w:val="0"/>
          <w:sz w:val="22"/>
          <w:szCs w:val="22"/>
        </w:rPr>
      </w:pPr>
      <w:r>
        <w:rPr>
          <w:rFonts w:cs="Times New Roman"/>
          <w:b/>
          <w:kern w:val="0"/>
          <w:sz w:val="22"/>
          <w:szCs w:val="22"/>
        </w:rPr>
        <w:t>12 April 2021 via Zoom Videoconferencing</w:t>
      </w:r>
    </w:p>
    <w:p w14:paraId="4F2B1467" w14:textId="77777777" w:rsidR="00B00E9B" w:rsidRDefault="00B00E9B">
      <w:pPr>
        <w:widowControl/>
        <w:jc w:val="center"/>
        <w:rPr>
          <w:rFonts w:eastAsia="Times New Roman" w:cs="Times New Roman"/>
          <w:b/>
          <w:bCs/>
          <w:color w:val="222222"/>
          <w:kern w:val="0"/>
          <w:sz w:val="22"/>
          <w:szCs w:val="22"/>
        </w:rPr>
      </w:pPr>
    </w:p>
    <w:p w14:paraId="42BA8B9C" w14:textId="77777777" w:rsidR="00B00E9B" w:rsidRDefault="00602F2C">
      <w:pPr>
        <w:widowControl/>
        <w:jc w:val="center"/>
        <w:rPr>
          <w:rFonts w:eastAsia="Times New Roman" w:cs="Times New Roman"/>
          <w:b/>
          <w:bCs/>
          <w:color w:val="222222"/>
          <w:kern w:val="0"/>
          <w:sz w:val="22"/>
          <w:szCs w:val="22"/>
        </w:rPr>
      </w:pPr>
      <w:r>
        <w:rPr>
          <w:rFonts w:eastAsia="Times New Roman" w:cs="Times New Roman"/>
          <w:b/>
          <w:bCs/>
          <w:color w:val="222222"/>
          <w:kern w:val="0"/>
          <w:sz w:val="22"/>
          <w:szCs w:val="22"/>
        </w:rPr>
        <w:t>MINUTES</w:t>
      </w:r>
    </w:p>
    <w:p w14:paraId="098AB17F" w14:textId="77777777" w:rsidR="00B00E9B" w:rsidRDefault="00B00E9B">
      <w:pPr>
        <w:widowControl/>
        <w:spacing w:line="259" w:lineRule="auto"/>
        <w:jc w:val="center"/>
        <w:rPr>
          <w:rFonts w:cs="Times New Roman"/>
          <w:b/>
          <w:kern w:val="0"/>
          <w:sz w:val="22"/>
          <w:szCs w:val="22"/>
        </w:rPr>
      </w:pPr>
    </w:p>
    <w:p w14:paraId="28C8161A" w14:textId="77777777" w:rsidR="00B00E9B" w:rsidRDefault="00602F2C">
      <w:pPr>
        <w:widowControl/>
        <w:spacing w:line="259" w:lineRule="auto"/>
        <w:rPr>
          <w:rFonts w:cs="Times New Roman"/>
          <w:kern w:val="0"/>
          <w:sz w:val="22"/>
          <w:szCs w:val="22"/>
        </w:rPr>
      </w:pPr>
      <w:r>
        <w:rPr>
          <w:rFonts w:cs="Times New Roman"/>
          <w:b/>
          <w:kern w:val="0"/>
          <w:sz w:val="22"/>
          <w:szCs w:val="22"/>
        </w:rPr>
        <w:t>Present:</w:t>
      </w:r>
      <w:r>
        <w:rPr>
          <w:rFonts w:cs="Times New Roman"/>
          <w:kern w:val="0"/>
          <w:sz w:val="22"/>
          <w:szCs w:val="22"/>
        </w:rPr>
        <w:t xml:space="preserve">  Stephen Johnson, Keith </w:t>
      </w:r>
      <w:proofErr w:type="spellStart"/>
      <w:r>
        <w:rPr>
          <w:rFonts w:cs="Times New Roman"/>
          <w:kern w:val="0"/>
          <w:sz w:val="22"/>
          <w:szCs w:val="22"/>
        </w:rPr>
        <w:t>Dimon</w:t>
      </w:r>
      <w:proofErr w:type="spellEnd"/>
      <w:r>
        <w:rPr>
          <w:rFonts w:cs="Times New Roman"/>
          <w:kern w:val="0"/>
          <w:sz w:val="22"/>
          <w:szCs w:val="22"/>
        </w:rPr>
        <w:t>, Andy Collins, Jane Towers, Andrew Kerry-</w:t>
      </w:r>
      <w:proofErr w:type="spellStart"/>
      <w:r>
        <w:rPr>
          <w:rFonts w:cs="Times New Roman"/>
          <w:kern w:val="0"/>
          <w:sz w:val="22"/>
          <w:szCs w:val="22"/>
        </w:rPr>
        <w:t>Beddell</w:t>
      </w:r>
      <w:proofErr w:type="spellEnd"/>
      <w:r>
        <w:rPr>
          <w:rFonts w:cs="Times New Roman"/>
          <w:kern w:val="0"/>
          <w:sz w:val="22"/>
          <w:szCs w:val="22"/>
        </w:rPr>
        <w:t>, Sue Bramwell-Smith, Andrew Sargent, Philip MacDougall (Chair), Bruce Garrett, Rachel Perri, Peter Bolton.</w:t>
      </w:r>
    </w:p>
    <w:p w14:paraId="1F04A96E" w14:textId="77777777" w:rsidR="00B00E9B" w:rsidRDefault="00602F2C">
      <w:pPr>
        <w:widowControl/>
        <w:spacing w:line="259" w:lineRule="auto"/>
        <w:rPr>
          <w:rFonts w:cs="Times New Roman"/>
          <w:kern w:val="0"/>
          <w:sz w:val="22"/>
          <w:szCs w:val="22"/>
        </w:rPr>
      </w:pPr>
      <w:r>
        <w:rPr>
          <w:rFonts w:cs="Times New Roman"/>
          <w:b/>
          <w:bCs/>
          <w:kern w:val="0"/>
          <w:sz w:val="22"/>
          <w:szCs w:val="22"/>
        </w:rPr>
        <w:t xml:space="preserve">Apologies:  </w:t>
      </w:r>
      <w:r>
        <w:rPr>
          <w:rFonts w:cs="Times New Roman"/>
          <w:kern w:val="0"/>
          <w:sz w:val="22"/>
          <w:szCs w:val="22"/>
        </w:rPr>
        <w:t>None</w:t>
      </w:r>
    </w:p>
    <w:p w14:paraId="10E4AD77" w14:textId="77777777" w:rsidR="00B00E9B" w:rsidRDefault="00602F2C">
      <w:pPr>
        <w:widowControl/>
        <w:spacing w:line="259" w:lineRule="auto"/>
        <w:rPr>
          <w:rFonts w:cs="Times New Roman"/>
          <w:kern w:val="0"/>
          <w:sz w:val="22"/>
          <w:szCs w:val="22"/>
        </w:rPr>
      </w:pPr>
      <w:r>
        <w:rPr>
          <w:rFonts w:cs="Times New Roman"/>
          <w:b/>
          <w:kern w:val="0"/>
          <w:sz w:val="22"/>
          <w:szCs w:val="22"/>
        </w:rPr>
        <w:t>Honorary Secretary</w:t>
      </w:r>
      <w:r>
        <w:rPr>
          <w:rFonts w:cs="Times New Roman"/>
          <w:kern w:val="0"/>
          <w:sz w:val="22"/>
          <w:szCs w:val="22"/>
        </w:rPr>
        <w:t>: Lisa Wilcock.</w:t>
      </w:r>
    </w:p>
    <w:p w14:paraId="2FDF732A" w14:textId="77777777" w:rsidR="00B00E9B" w:rsidRDefault="00B00E9B">
      <w:pPr>
        <w:widowControl/>
        <w:spacing w:line="259" w:lineRule="auto"/>
        <w:rPr>
          <w:rFonts w:cs="Times New Roman"/>
          <w:kern w:val="0"/>
          <w:sz w:val="22"/>
          <w:szCs w:val="22"/>
        </w:rPr>
      </w:pPr>
    </w:p>
    <w:p w14:paraId="2A51F04B" w14:textId="77777777" w:rsidR="00B00E9B" w:rsidRDefault="00602F2C">
      <w:pPr>
        <w:widowControl/>
        <w:spacing w:line="259" w:lineRule="auto"/>
        <w:rPr>
          <w:rFonts w:cs="Times New Roman"/>
          <w:i/>
          <w:kern w:val="0"/>
          <w:sz w:val="22"/>
          <w:szCs w:val="22"/>
        </w:rPr>
      </w:pPr>
      <w:r>
        <w:rPr>
          <w:rFonts w:cs="Times New Roman"/>
          <w:i/>
          <w:kern w:val="0"/>
          <w:sz w:val="22"/>
          <w:szCs w:val="22"/>
        </w:rPr>
        <w:t>Meeting commenced at 1931hrs</w:t>
      </w:r>
    </w:p>
    <w:tbl>
      <w:tblPr>
        <w:tblStyle w:val="TableGrid"/>
        <w:tblW w:w="10343" w:type="dxa"/>
        <w:tblLook w:val="04A0" w:firstRow="1" w:lastRow="0" w:firstColumn="1" w:lastColumn="0" w:noHBand="0" w:noVBand="1"/>
      </w:tblPr>
      <w:tblGrid>
        <w:gridCol w:w="1160"/>
        <w:gridCol w:w="8191"/>
        <w:gridCol w:w="992"/>
      </w:tblGrid>
      <w:tr w:rsidR="00B00E9B" w14:paraId="7E033AC5" w14:textId="77777777">
        <w:tc>
          <w:tcPr>
            <w:tcW w:w="1160" w:type="dxa"/>
          </w:tcPr>
          <w:p w14:paraId="247C4583" w14:textId="77777777" w:rsidR="00B00E9B" w:rsidRDefault="00602F2C">
            <w:r>
              <w:t>177/21</w:t>
            </w:r>
          </w:p>
        </w:tc>
        <w:tc>
          <w:tcPr>
            <w:tcW w:w="8191" w:type="dxa"/>
          </w:tcPr>
          <w:p w14:paraId="4E838B61" w14:textId="77777777" w:rsidR="00B00E9B" w:rsidRDefault="00602F2C">
            <w:pPr>
              <w:rPr>
                <w:b/>
                <w:bCs/>
              </w:rPr>
            </w:pPr>
            <w:r>
              <w:rPr>
                <w:b/>
                <w:bCs/>
              </w:rPr>
              <w:t>Apologies</w:t>
            </w:r>
          </w:p>
        </w:tc>
        <w:tc>
          <w:tcPr>
            <w:tcW w:w="992" w:type="dxa"/>
          </w:tcPr>
          <w:p w14:paraId="2786EB72" w14:textId="77777777" w:rsidR="00B00E9B" w:rsidRDefault="00B00E9B"/>
        </w:tc>
      </w:tr>
      <w:tr w:rsidR="00B00E9B" w14:paraId="23CDCFEA" w14:textId="77777777">
        <w:tc>
          <w:tcPr>
            <w:tcW w:w="1160" w:type="dxa"/>
          </w:tcPr>
          <w:p w14:paraId="5CF286E9" w14:textId="77777777" w:rsidR="00B00E9B" w:rsidRDefault="00602F2C">
            <w:r>
              <w:t>178/21</w:t>
            </w:r>
          </w:p>
        </w:tc>
        <w:tc>
          <w:tcPr>
            <w:tcW w:w="8191" w:type="dxa"/>
          </w:tcPr>
          <w:p w14:paraId="5F2E6F7C" w14:textId="77777777" w:rsidR="00B00E9B" w:rsidRDefault="00602F2C">
            <w:pPr>
              <w:jc w:val="both"/>
              <w:rPr>
                <w:b/>
              </w:rPr>
            </w:pPr>
            <w:r>
              <w:rPr>
                <w:b/>
              </w:rPr>
              <w:t>Declarations of Interest</w:t>
            </w:r>
          </w:p>
          <w:p w14:paraId="1377D5E5" w14:textId="77777777" w:rsidR="00B00E9B" w:rsidRDefault="00602F2C">
            <w:pPr>
              <w:jc w:val="both"/>
              <w:rPr>
                <w:bCs/>
              </w:rPr>
            </w:pPr>
            <w:r>
              <w:rPr>
                <w:bCs/>
              </w:rPr>
              <w:t>None</w:t>
            </w:r>
          </w:p>
        </w:tc>
        <w:tc>
          <w:tcPr>
            <w:tcW w:w="992" w:type="dxa"/>
          </w:tcPr>
          <w:p w14:paraId="7755709B" w14:textId="77777777" w:rsidR="00B00E9B" w:rsidRDefault="00B00E9B"/>
        </w:tc>
      </w:tr>
      <w:tr w:rsidR="00B00E9B" w14:paraId="7D717C7E" w14:textId="77777777">
        <w:tc>
          <w:tcPr>
            <w:tcW w:w="1160" w:type="dxa"/>
          </w:tcPr>
          <w:p w14:paraId="29AE032D" w14:textId="77777777" w:rsidR="00B00E9B" w:rsidRDefault="00602F2C">
            <w:r>
              <w:t>179/21</w:t>
            </w:r>
          </w:p>
        </w:tc>
        <w:tc>
          <w:tcPr>
            <w:tcW w:w="8191" w:type="dxa"/>
          </w:tcPr>
          <w:p w14:paraId="13BC8D8C" w14:textId="77777777" w:rsidR="00B00E9B" w:rsidRDefault="00602F2C">
            <w:pPr>
              <w:rPr>
                <w:b/>
                <w:bCs/>
              </w:rPr>
            </w:pPr>
            <w:r>
              <w:rPr>
                <w:b/>
                <w:bCs/>
              </w:rPr>
              <w:t>Approval of minutes of the meeting held on 1</w:t>
            </w:r>
            <w:r>
              <w:rPr>
                <w:b/>
                <w:bCs/>
                <w:vertAlign w:val="superscript"/>
              </w:rPr>
              <w:t>st</w:t>
            </w:r>
            <w:r>
              <w:rPr>
                <w:b/>
                <w:bCs/>
              </w:rPr>
              <w:t xml:space="preserve"> March 2021</w:t>
            </w:r>
          </w:p>
          <w:p w14:paraId="438EF02D" w14:textId="77777777" w:rsidR="00B00E9B" w:rsidRDefault="00602F2C">
            <w:r>
              <w:t xml:space="preserve">Approved </w:t>
            </w:r>
          </w:p>
        </w:tc>
        <w:tc>
          <w:tcPr>
            <w:tcW w:w="992" w:type="dxa"/>
          </w:tcPr>
          <w:p w14:paraId="5DA0D0A7" w14:textId="77777777" w:rsidR="00B00E9B" w:rsidRDefault="00B00E9B"/>
        </w:tc>
      </w:tr>
      <w:tr w:rsidR="00B00E9B" w14:paraId="21FD04E2" w14:textId="77777777">
        <w:tc>
          <w:tcPr>
            <w:tcW w:w="1160" w:type="dxa"/>
          </w:tcPr>
          <w:p w14:paraId="05C1E836" w14:textId="77777777" w:rsidR="00B00E9B" w:rsidRDefault="00602F2C">
            <w:r>
              <w:t>180/21</w:t>
            </w:r>
          </w:p>
        </w:tc>
        <w:tc>
          <w:tcPr>
            <w:tcW w:w="8191" w:type="dxa"/>
          </w:tcPr>
          <w:p w14:paraId="7AF60B99" w14:textId="77777777" w:rsidR="00B00E9B" w:rsidRDefault="00602F2C">
            <w:pPr>
              <w:rPr>
                <w:b/>
                <w:bCs/>
              </w:rPr>
            </w:pPr>
            <w:r>
              <w:rPr>
                <w:b/>
                <w:bCs/>
              </w:rPr>
              <w:t>Opening remarks by Chair: planning applications situation, policy/action news from CDC ( HELAA, waste water treatment capacity and other updates if any).</w:t>
            </w:r>
          </w:p>
          <w:p w14:paraId="4C27DE53" w14:textId="77777777" w:rsidR="00B00E9B" w:rsidRDefault="00602F2C">
            <w:pPr>
              <w:pStyle w:val="ListParagraph"/>
              <w:numPr>
                <w:ilvl w:val="0"/>
                <w:numId w:val="1"/>
              </w:numPr>
              <w:tabs>
                <w:tab w:val="left" w:pos="288"/>
              </w:tabs>
              <w:ind w:left="288" w:hanging="284"/>
            </w:pPr>
            <w:r>
              <w:t xml:space="preserve">Noted that the </w:t>
            </w:r>
            <w:proofErr w:type="spellStart"/>
            <w:r>
              <w:t>Sunley</w:t>
            </w:r>
            <w:proofErr w:type="spellEnd"/>
            <w:r>
              <w:t xml:space="preserve"> application was rejected and the group discussed the reasons behind this decision and how it may affect the other current planning applications that affect the NP site allocation process.  </w:t>
            </w:r>
          </w:p>
          <w:p w14:paraId="3088E5CD" w14:textId="77777777" w:rsidR="00B00E9B" w:rsidRDefault="00602F2C">
            <w:pPr>
              <w:pStyle w:val="ListParagraph"/>
              <w:numPr>
                <w:ilvl w:val="0"/>
                <w:numId w:val="1"/>
              </w:numPr>
              <w:tabs>
                <w:tab w:val="left" w:pos="288"/>
              </w:tabs>
              <w:ind w:left="288" w:hanging="284"/>
            </w:pPr>
            <w:r>
              <w:t>The group discussed how the waste water issue will affect all the sites considered.  Nitrates was considered a different issue which affects each site consideration differently.</w:t>
            </w:r>
          </w:p>
          <w:p w14:paraId="0EE4C689" w14:textId="77777777" w:rsidR="00B00E9B" w:rsidRDefault="00602F2C">
            <w:pPr>
              <w:pStyle w:val="ListParagraph"/>
              <w:numPr>
                <w:ilvl w:val="0"/>
                <w:numId w:val="1"/>
              </w:numPr>
              <w:tabs>
                <w:tab w:val="left" w:pos="288"/>
              </w:tabs>
              <w:ind w:left="288" w:hanging="284"/>
            </w:pPr>
            <w:r>
              <w:t xml:space="preserve">The most significant update on current HELAA is that they have taken out site HCH00027 which is the only change.  </w:t>
            </w:r>
          </w:p>
          <w:p w14:paraId="79A1402C" w14:textId="77777777" w:rsidR="00B00E9B" w:rsidRDefault="00602F2C">
            <w:pPr>
              <w:pStyle w:val="ListParagraph"/>
              <w:numPr>
                <w:ilvl w:val="0"/>
                <w:numId w:val="1"/>
              </w:numPr>
              <w:tabs>
                <w:tab w:val="left" w:pos="288"/>
              </w:tabs>
              <w:ind w:left="288" w:hanging="284"/>
            </w:pPr>
            <w:r>
              <w:t>Noted that there was a meeting with DC Adrian Moss in connection with Southern Water and a press release was issued on Monday in connection with the discussions.  It mentions that lining water pipes may be a way to reduce nitrates entering the harbour.  Noted that AKB is seeking clarification on the 2020 water treatment plan figures but the current plan shows a 900 house capacity against 3200 planned homes, so in any case there is a serious issue.</w:t>
            </w:r>
          </w:p>
        </w:tc>
        <w:tc>
          <w:tcPr>
            <w:tcW w:w="992" w:type="dxa"/>
          </w:tcPr>
          <w:p w14:paraId="3A27BFFC" w14:textId="77777777" w:rsidR="00B00E9B" w:rsidRDefault="00B00E9B"/>
        </w:tc>
      </w:tr>
      <w:tr w:rsidR="00B00E9B" w14:paraId="0E8EC3D8" w14:textId="77777777">
        <w:tc>
          <w:tcPr>
            <w:tcW w:w="1160" w:type="dxa"/>
          </w:tcPr>
          <w:p w14:paraId="02B11FE2" w14:textId="77777777" w:rsidR="00B00E9B" w:rsidRDefault="00602F2C">
            <w:r>
              <w:t>181/21</w:t>
            </w:r>
          </w:p>
        </w:tc>
        <w:tc>
          <w:tcPr>
            <w:tcW w:w="8191" w:type="dxa"/>
          </w:tcPr>
          <w:p w14:paraId="6020C30B" w14:textId="77777777" w:rsidR="00B00E9B" w:rsidRDefault="00602F2C">
            <w:pPr>
              <w:rPr>
                <w:b/>
                <w:bCs/>
              </w:rPr>
            </w:pPr>
            <w:r>
              <w:rPr>
                <w:b/>
                <w:bCs/>
              </w:rPr>
              <w:t>Matters not on the Agenda that the Chair considers need to be added at short notice.</w:t>
            </w:r>
          </w:p>
          <w:p w14:paraId="63E761B3" w14:textId="77777777" w:rsidR="00B00E9B" w:rsidRDefault="00602F2C">
            <w:r>
              <w:t xml:space="preserve">It was </w:t>
            </w:r>
            <w:r>
              <w:rPr>
                <w:b/>
                <w:bCs/>
              </w:rPr>
              <w:t>agreed</w:t>
            </w:r>
            <w:r>
              <w:t xml:space="preserve"> that the group wish to apply for the full £10K on the basis that if any monies were not spent, they were able to give it back.  </w:t>
            </w:r>
            <w:r>
              <w:rPr>
                <w:b/>
                <w:bCs/>
              </w:rPr>
              <w:t>Action</w:t>
            </w:r>
            <w:r>
              <w:t xml:space="preserve"> Bambi Jones, Clerk of the Parish Council to apply for £10K funding on behalf of the group. </w:t>
            </w:r>
          </w:p>
        </w:tc>
        <w:tc>
          <w:tcPr>
            <w:tcW w:w="992" w:type="dxa"/>
          </w:tcPr>
          <w:p w14:paraId="3E9C05AA" w14:textId="77777777" w:rsidR="00B00E9B" w:rsidRDefault="00B00E9B"/>
          <w:p w14:paraId="02922B58" w14:textId="77777777" w:rsidR="00B00E9B" w:rsidRDefault="00B00E9B"/>
          <w:p w14:paraId="3C95879D" w14:textId="77777777" w:rsidR="00B00E9B" w:rsidRDefault="00B00E9B"/>
          <w:p w14:paraId="4F80782A" w14:textId="77777777" w:rsidR="00B00E9B" w:rsidRDefault="00602F2C">
            <w:r>
              <w:t>BJ</w:t>
            </w:r>
          </w:p>
        </w:tc>
      </w:tr>
      <w:tr w:rsidR="00B00E9B" w14:paraId="7E56A677" w14:textId="77777777">
        <w:trPr>
          <w:trHeight w:val="344"/>
        </w:trPr>
        <w:tc>
          <w:tcPr>
            <w:tcW w:w="1160" w:type="dxa"/>
          </w:tcPr>
          <w:p w14:paraId="15FBEE1E" w14:textId="77777777" w:rsidR="00B00E9B" w:rsidRDefault="00602F2C">
            <w:r>
              <w:t>182/21</w:t>
            </w:r>
          </w:p>
        </w:tc>
        <w:tc>
          <w:tcPr>
            <w:tcW w:w="8191" w:type="dxa"/>
          </w:tcPr>
          <w:p w14:paraId="7CEAB4A9" w14:textId="77777777" w:rsidR="00B00E9B" w:rsidRDefault="00602F2C">
            <w:pPr>
              <w:rPr>
                <w:b/>
                <w:bCs/>
              </w:rPr>
            </w:pPr>
            <w:r>
              <w:rPr>
                <w:b/>
                <w:bCs/>
              </w:rPr>
              <w:t>Local Plan Delay</w:t>
            </w:r>
          </w:p>
          <w:p w14:paraId="5321A756" w14:textId="77777777" w:rsidR="00B00E9B" w:rsidRDefault="00602F2C">
            <w:pPr>
              <w:suppressAutoHyphens/>
              <w:rPr>
                <w:rFonts w:eastAsia="Times New Roman"/>
                <w:color w:val="222222"/>
              </w:rPr>
            </w:pPr>
            <w:r>
              <w:rPr>
                <w:rFonts w:eastAsia="Times New Roman"/>
                <w:color w:val="222222"/>
              </w:rPr>
              <w:t xml:space="preserve">Noted that the LP Regulation 14 has been delayed until March 2023.  The group cannot submit a Neighbourhood Plan unless there is an adopted LP or they accept current allocation. .  Noted that Southbourne PC is going ahead as they have accepted their housing allocation.  The group discussed continuing with the NP based upon a lower allocation of houses which mirrors the land available and the wishes of the residents.  The group knows that should the LP come in with a different number, the NP will not get past the Government Inspectorate.  The group needs to decide on whether to go ahead with a NP to the point of Regulation 14 or not.  Noted that it would have to go to CDC and the Parish Council for approval first in any case. </w:t>
            </w:r>
          </w:p>
        </w:tc>
        <w:tc>
          <w:tcPr>
            <w:tcW w:w="992" w:type="dxa"/>
          </w:tcPr>
          <w:p w14:paraId="4D1D7678" w14:textId="77777777" w:rsidR="00B00E9B" w:rsidRDefault="00B00E9B"/>
        </w:tc>
      </w:tr>
      <w:tr w:rsidR="00B00E9B" w14:paraId="522E90F7" w14:textId="77777777">
        <w:tc>
          <w:tcPr>
            <w:tcW w:w="1160" w:type="dxa"/>
          </w:tcPr>
          <w:p w14:paraId="5D3D315E" w14:textId="77777777" w:rsidR="00B00E9B" w:rsidRDefault="00602F2C">
            <w:r>
              <w:t>183/21</w:t>
            </w:r>
          </w:p>
        </w:tc>
        <w:tc>
          <w:tcPr>
            <w:tcW w:w="8191" w:type="dxa"/>
          </w:tcPr>
          <w:p w14:paraId="0F9BD305" w14:textId="77777777" w:rsidR="00B00E9B" w:rsidRDefault="00602F2C">
            <w:pPr>
              <w:rPr>
                <w:rFonts w:eastAsia="Times New Roman"/>
                <w:b/>
                <w:bCs/>
                <w:color w:val="222222"/>
              </w:rPr>
            </w:pPr>
            <w:r>
              <w:rPr>
                <w:b/>
                <w:bCs/>
              </w:rPr>
              <w:t>Feedback from Informal Parish Council Meeting: publication of Policies document; future Publication of Housing Document.</w:t>
            </w:r>
          </w:p>
          <w:p w14:paraId="67FB218F" w14:textId="6BFC8166" w:rsidR="00B00E9B" w:rsidRDefault="00602F2C">
            <w:pPr>
              <w:pStyle w:val="ListParagraph"/>
              <w:numPr>
                <w:ilvl w:val="0"/>
                <w:numId w:val="2"/>
              </w:numPr>
              <w:ind w:left="288" w:hanging="284"/>
              <w:rPr>
                <w:rFonts w:eastAsia="Times New Roman"/>
                <w:color w:val="222222"/>
              </w:rPr>
            </w:pPr>
            <w:r>
              <w:rPr>
                <w:rFonts w:eastAsia="Times New Roman"/>
                <w:color w:val="222222"/>
              </w:rPr>
              <w:lastRenderedPageBreak/>
              <w:t xml:space="preserve">It was suggested that pages 1–31 of the ‘Interim NP’ could be published as this means the site selection section is not included but it will allow the community to see how far the process has reached.   Noted that the public consultation process needs to be addressed once COVID is safe. Documents to be </w:t>
            </w:r>
            <w:proofErr w:type="spellStart"/>
            <w:r>
              <w:rPr>
                <w:rFonts w:eastAsia="Times New Roman"/>
                <w:color w:val="222222"/>
              </w:rPr>
              <w:t>be</w:t>
            </w:r>
            <w:proofErr w:type="spellEnd"/>
            <w:r>
              <w:rPr>
                <w:rFonts w:eastAsia="Times New Roman"/>
                <w:color w:val="222222"/>
              </w:rPr>
              <w:t xml:space="preserve"> shared with the public to show the significant progress made were discussed . </w:t>
            </w:r>
          </w:p>
          <w:p w14:paraId="28435460" w14:textId="77777777" w:rsidR="00B00E9B" w:rsidRDefault="00602F2C">
            <w:pPr>
              <w:pStyle w:val="ListParagraph"/>
              <w:numPr>
                <w:ilvl w:val="0"/>
                <w:numId w:val="2"/>
              </w:numPr>
              <w:ind w:left="288" w:hanging="284"/>
              <w:rPr>
                <w:rFonts w:eastAsia="Times New Roman"/>
                <w:color w:val="222222"/>
              </w:rPr>
            </w:pPr>
            <w:r>
              <w:rPr>
                <w:rFonts w:eastAsia="Times New Roman"/>
                <w:color w:val="222222"/>
              </w:rPr>
              <w:t>The Group are still working on getting the allocation reduced down from 400. Noted that the group still have not had their allocation confirmed by the CDC and this is key to progressing with NP and is preventing the group from confidently answering public questions about site selection.</w:t>
            </w:r>
          </w:p>
          <w:p w14:paraId="3A08B028" w14:textId="77777777" w:rsidR="00B00E9B" w:rsidRDefault="00602F2C">
            <w:pPr>
              <w:pStyle w:val="ListParagraph"/>
              <w:numPr>
                <w:ilvl w:val="0"/>
                <w:numId w:val="2"/>
              </w:numPr>
              <w:ind w:left="288" w:hanging="284"/>
              <w:rPr>
                <w:rFonts w:eastAsia="Times New Roman"/>
                <w:color w:val="222222"/>
              </w:rPr>
            </w:pPr>
            <w:r>
              <w:rPr>
                <w:rFonts w:eastAsia="Times New Roman"/>
                <w:color w:val="222222"/>
              </w:rPr>
              <w:t xml:space="preserve">It was suggested again that pages 1–31 of the ‘Interim Neighbourhood Plan’ should be published?  It was decided that the Policies should be the next document to be shared with the public. The group objected to this as it was considered more important to publish the policies document.  It was suggested that the policies should be published.  The Interim Neighbourhood Plan document pages 1–31 could then go out after the policies document, if it is still valid.  It was suggested that the group asks Jon Herbert’s advice on publication of pages 1–31.  The group is mindful that it needs to engage with the residents of the parish.  The group suggested that a program of work should be put in place even if it is without a time line.   </w:t>
            </w:r>
          </w:p>
        </w:tc>
        <w:tc>
          <w:tcPr>
            <w:tcW w:w="992" w:type="dxa"/>
          </w:tcPr>
          <w:p w14:paraId="7A5ABABB" w14:textId="77777777" w:rsidR="00B00E9B" w:rsidRDefault="00B00E9B"/>
          <w:p w14:paraId="05BA8DBA" w14:textId="77777777" w:rsidR="00B00E9B" w:rsidRDefault="00B00E9B"/>
          <w:p w14:paraId="60DBBA5C" w14:textId="77777777" w:rsidR="00B00E9B" w:rsidRDefault="00B00E9B"/>
          <w:p w14:paraId="6889588D" w14:textId="77777777" w:rsidR="00B00E9B" w:rsidRDefault="00B00E9B"/>
          <w:p w14:paraId="78170019" w14:textId="77777777" w:rsidR="00B00E9B" w:rsidRDefault="00B00E9B"/>
          <w:p w14:paraId="256BA7FC" w14:textId="77777777" w:rsidR="00B00E9B" w:rsidRDefault="00B00E9B"/>
          <w:p w14:paraId="2E182D6A" w14:textId="77777777" w:rsidR="00B00E9B" w:rsidRDefault="00B00E9B"/>
          <w:p w14:paraId="7092FE31" w14:textId="77777777" w:rsidR="00B00E9B" w:rsidRDefault="00B00E9B"/>
        </w:tc>
      </w:tr>
      <w:tr w:rsidR="00B00E9B" w14:paraId="1A72AA06" w14:textId="77777777">
        <w:tc>
          <w:tcPr>
            <w:tcW w:w="1160" w:type="dxa"/>
          </w:tcPr>
          <w:p w14:paraId="5F7C349C" w14:textId="77777777" w:rsidR="00B00E9B" w:rsidRDefault="00602F2C">
            <w:r>
              <w:lastRenderedPageBreak/>
              <w:t>184/21</w:t>
            </w:r>
          </w:p>
        </w:tc>
        <w:tc>
          <w:tcPr>
            <w:tcW w:w="8191" w:type="dxa"/>
          </w:tcPr>
          <w:p w14:paraId="3AFB3F8E" w14:textId="77777777" w:rsidR="00B00E9B" w:rsidRDefault="00602F2C">
            <w:pPr>
              <w:rPr>
                <w:b/>
                <w:bCs/>
              </w:rPr>
            </w:pPr>
            <w:r>
              <w:rPr>
                <w:b/>
                <w:bCs/>
              </w:rPr>
              <w:t>Evidence for Rejecting Sites: Site Constraints Papers (Stephen); Working Parties (Jane).</w:t>
            </w:r>
          </w:p>
          <w:p w14:paraId="53C2003A" w14:textId="77777777" w:rsidR="00B00E9B" w:rsidRDefault="00602F2C">
            <w:r>
              <w:t xml:space="preserve">JT, BG, AC, KD and SJ worked on this document which was circulated to the group in advance of the meeting.  Nothing more to add during the meeting but it does show that every potential site has planning constraints so it makes site selection more difficult.  The site capacity available to provide the housing does not allow the current allocation the District Council have asked the group for. </w:t>
            </w:r>
          </w:p>
          <w:p w14:paraId="548FA283" w14:textId="77777777" w:rsidR="00B00E9B" w:rsidRDefault="00602F2C">
            <w:r>
              <w:t xml:space="preserve">Noted that the group thanked the working party for producing the document as it is excellent and gives all the information planners need in one document.  This document will would go to Toby </w:t>
            </w:r>
            <w:proofErr w:type="spellStart"/>
            <w:r>
              <w:t>Ayling</w:t>
            </w:r>
            <w:proofErr w:type="spellEnd"/>
            <w:r>
              <w:t xml:space="preserve"> with the Settlement Gaps paper but it would be passed via Troy Consulting first for final comments before release.  </w:t>
            </w:r>
          </w:p>
          <w:p w14:paraId="255A5595" w14:textId="77777777" w:rsidR="00B00E9B" w:rsidRDefault="00602F2C">
            <w:r>
              <w:t xml:space="preserve">The group </w:t>
            </w:r>
            <w:r>
              <w:rPr>
                <w:b/>
                <w:bCs/>
              </w:rPr>
              <w:t>approved</w:t>
            </w:r>
            <w:r>
              <w:t xml:space="preserve"> the draft document so far.  </w:t>
            </w:r>
          </w:p>
        </w:tc>
        <w:tc>
          <w:tcPr>
            <w:tcW w:w="992" w:type="dxa"/>
          </w:tcPr>
          <w:p w14:paraId="1591EE61" w14:textId="77777777" w:rsidR="00B00E9B" w:rsidRDefault="00B00E9B"/>
        </w:tc>
      </w:tr>
      <w:tr w:rsidR="00B00E9B" w14:paraId="3FB5F82F" w14:textId="77777777">
        <w:tc>
          <w:tcPr>
            <w:tcW w:w="1160" w:type="dxa"/>
          </w:tcPr>
          <w:p w14:paraId="3BF17728" w14:textId="77777777" w:rsidR="00B00E9B" w:rsidRDefault="00602F2C">
            <w:r>
              <w:t>185/21</w:t>
            </w:r>
          </w:p>
        </w:tc>
        <w:tc>
          <w:tcPr>
            <w:tcW w:w="8191" w:type="dxa"/>
          </w:tcPr>
          <w:p w14:paraId="3974FE3E" w14:textId="77777777" w:rsidR="00B00E9B" w:rsidRDefault="00602F2C">
            <w:pPr>
              <w:rPr>
                <w:b/>
                <w:bCs/>
              </w:rPr>
            </w:pPr>
            <w:r>
              <w:rPr>
                <w:b/>
                <w:bCs/>
              </w:rPr>
              <w:t>Settlement Boundary Areas and Gaps</w:t>
            </w:r>
          </w:p>
          <w:p w14:paraId="584A59A7" w14:textId="77777777" w:rsidR="00B00E9B" w:rsidRDefault="00602F2C">
            <w:pPr>
              <w:rPr>
                <w:color w:val="000000"/>
              </w:rPr>
            </w:pPr>
            <w:r>
              <w:rPr>
                <w:color w:val="000000"/>
              </w:rPr>
              <w:t xml:space="preserve">Following the meeting with CDC, Troy Planning were asked to put together the information on the settlement gaps which has now been produced.  The group </w:t>
            </w:r>
            <w:r>
              <w:rPr>
                <w:b/>
                <w:bCs/>
                <w:color w:val="000000"/>
              </w:rPr>
              <w:t>approved</w:t>
            </w:r>
            <w:r>
              <w:rPr>
                <w:color w:val="000000"/>
              </w:rPr>
              <w:t xml:space="preserve"> the document but it is noted that it is a live document and subject to amendments in line with the final adopted Local Plan.  </w:t>
            </w:r>
            <w:r>
              <w:rPr>
                <w:b/>
                <w:bCs/>
                <w:color w:val="000000"/>
              </w:rPr>
              <w:t>Action</w:t>
            </w:r>
            <w:r>
              <w:rPr>
                <w:color w:val="000000"/>
              </w:rPr>
              <w:t xml:space="preserve"> JT to get the approved document to CDC as soon as possible. </w:t>
            </w:r>
          </w:p>
          <w:p w14:paraId="375E404C" w14:textId="77777777" w:rsidR="00B00E9B" w:rsidRDefault="00602F2C">
            <w:pPr>
              <w:rPr>
                <w:color w:val="000000"/>
              </w:rPr>
            </w:pPr>
            <w:r>
              <w:rPr>
                <w:color w:val="000000"/>
              </w:rPr>
              <w:t xml:space="preserve">One member raised a query over whether  the School area and Chidham Lane area should be represented as a settlement.  Noted that is not possible to designate this as a settlement boundary unless it is agreed by the community via a formal process.  </w:t>
            </w:r>
          </w:p>
        </w:tc>
        <w:tc>
          <w:tcPr>
            <w:tcW w:w="992" w:type="dxa"/>
          </w:tcPr>
          <w:p w14:paraId="35D57B47" w14:textId="77777777" w:rsidR="00B00E9B" w:rsidRDefault="00B00E9B"/>
          <w:p w14:paraId="59E71A33" w14:textId="77777777" w:rsidR="00B00E9B" w:rsidRDefault="00B00E9B"/>
          <w:p w14:paraId="11E4F457" w14:textId="77777777" w:rsidR="00B00E9B" w:rsidRDefault="00B00E9B"/>
          <w:p w14:paraId="177E70F8" w14:textId="77777777" w:rsidR="00B00E9B" w:rsidRDefault="00B00E9B"/>
          <w:p w14:paraId="68C098E2" w14:textId="77777777" w:rsidR="00B00E9B" w:rsidRDefault="00602F2C">
            <w:r>
              <w:t>JT</w:t>
            </w:r>
          </w:p>
        </w:tc>
      </w:tr>
      <w:tr w:rsidR="00B00E9B" w14:paraId="0ABAF338" w14:textId="77777777">
        <w:tc>
          <w:tcPr>
            <w:tcW w:w="1160" w:type="dxa"/>
          </w:tcPr>
          <w:p w14:paraId="42FEF3FF" w14:textId="77777777" w:rsidR="00B00E9B" w:rsidRDefault="00602F2C">
            <w:r>
              <w:t>186/21</w:t>
            </w:r>
          </w:p>
        </w:tc>
        <w:tc>
          <w:tcPr>
            <w:tcW w:w="8191" w:type="dxa"/>
          </w:tcPr>
          <w:p w14:paraId="49E35E12" w14:textId="77777777" w:rsidR="00B00E9B" w:rsidRDefault="00602F2C">
            <w:pPr>
              <w:rPr>
                <w:b/>
                <w:bCs/>
                <w:color w:val="222222"/>
                <w:shd w:val="clear" w:color="auto" w:fill="FFFFFF"/>
              </w:rPr>
            </w:pPr>
            <w:r>
              <w:rPr>
                <w:b/>
                <w:bCs/>
                <w:color w:val="222222"/>
                <w:shd w:val="clear" w:color="auto" w:fill="FFFFFF"/>
              </w:rPr>
              <w:t>Timeline with a finish date for the Neighbourhood Plan.</w:t>
            </w:r>
          </w:p>
          <w:p w14:paraId="329CA99D" w14:textId="77777777" w:rsidR="00B00E9B" w:rsidRDefault="00602F2C">
            <w:pPr>
              <w:rPr>
                <w:color w:val="222222"/>
                <w:shd w:val="clear" w:color="auto" w:fill="FFFFFF"/>
              </w:rPr>
            </w:pPr>
            <w:r>
              <w:rPr>
                <w:color w:val="222222"/>
                <w:shd w:val="clear" w:color="auto" w:fill="FFFFFF"/>
              </w:rPr>
              <w:t xml:space="preserve">The group were asked again if they wish to proceed with a Neighbourhood Plan despite the delays with the Local Plan.  Noted that the letter from Andrew Frost in November 2020 made it very clear the Parish Council should proceed with their Neighbourhood Plan.  CDC were not sympathetic with the current dilemma.  </w:t>
            </w:r>
          </w:p>
          <w:p w14:paraId="3F23B40B" w14:textId="77777777" w:rsidR="00B00E9B" w:rsidRDefault="00602F2C">
            <w:r>
              <w:rPr>
                <w:b/>
                <w:bCs/>
              </w:rPr>
              <w:t xml:space="preserve">Action </w:t>
            </w:r>
            <w:proofErr w:type="spellStart"/>
            <w:r>
              <w:t>PMacD</w:t>
            </w:r>
            <w:proofErr w:type="spellEnd"/>
            <w:r>
              <w:t xml:space="preserve"> to send out a time line for the group to add to it.  </w:t>
            </w:r>
          </w:p>
          <w:p w14:paraId="57BED2D3" w14:textId="77777777" w:rsidR="00B00E9B" w:rsidRDefault="00602F2C">
            <w:r>
              <w:t xml:space="preserve">It was </w:t>
            </w:r>
            <w:r>
              <w:rPr>
                <w:b/>
                <w:bCs/>
              </w:rPr>
              <w:t xml:space="preserve">agreed </w:t>
            </w:r>
            <w:r>
              <w:t xml:space="preserve">that the NP will be worked on by taking steps towards concentrating on the policies document and settlement gaps document.    </w:t>
            </w:r>
          </w:p>
          <w:p w14:paraId="4EAAD7C5" w14:textId="77777777" w:rsidR="00B00E9B" w:rsidRDefault="00602F2C">
            <w:pPr>
              <w:rPr>
                <w:i/>
                <w:iCs/>
              </w:rPr>
            </w:pPr>
            <w:r>
              <w:rPr>
                <w:i/>
                <w:iCs/>
              </w:rPr>
              <w:t xml:space="preserve">Andrew Kerry </w:t>
            </w:r>
            <w:proofErr w:type="spellStart"/>
            <w:r>
              <w:rPr>
                <w:i/>
                <w:iCs/>
              </w:rPr>
              <w:t>Beddell</w:t>
            </w:r>
            <w:proofErr w:type="spellEnd"/>
            <w:r>
              <w:rPr>
                <w:i/>
                <w:iCs/>
              </w:rPr>
              <w:t xml:space="preserve"> and Rachel Perri left the meeting.</w:t>
            </w:r>
          </w:p>
        </w:tc>
        <w:tc>
          <w:tcPr>
            <w:tcW w:w="992" w:type="dxa"/>
          </w:tcPr>
          <w:p w14:paraId="0B2488B8" w14:textId="77777777" w:rsidR="00B00E9B" w:rsidRDefault="00B00E9B"/>
          <w:p w14:paraId="139DC0C1" w14:textId="77777777" w:rsidR="00B00E9B" w:rsidRDefault="00B00E9B"/>
          <w:p w14:paraId="25F871A6" w14:textId="77777777" w:rsidR="00B00E9B" w:rsidRDefault="00B00E9B"/>
          <w:p w14:paraId="472CB65C" w14:textId="77777777" w:rsidR="00B00E9B" w:rsidRDefault="00B00E9B"/>
          <w:p w14:paraId="195CC516" w14:textId="77777777" w:rsidR="00B00E9B" w:rsidRDefault="00B00E9B"/>
          <w:p w14:paraId="1701926B" w14:textId="77777777" w:rsidR="00B00E9B" w:rsidRDefault="00602F2C">
            <w:proofErr w:type="spellStart"/>
            <w:r>
              <w:t>PMacD</w:t>
            </w:r>
            <w:proofErr w:type="spellEnd"/>
          </w:p>
          <w:p w14:paraId="325AD9E7" w14:textId="77777777" w:rsidR="00B00E9B" w:rsidRDefault="00B00E9B"/>
          <w:p w14:paraId="6266543F" w14:textId="77777777" w:rsidR="00B00E9B" w:rsidRDefault="00B00E9B"/>
        </w:tc>
      </w:tr>
      <w:tr w:rsidR="00B00E9B" w14:paraId="5C9AF51D" w14:textId="77777777">
        <w:tc>
          <w:tcPr>
            <w:tcW w:w="1160" w:type="dxa"/>
          </w:tcPr>
          <w:p w14:paraId="41116843" w14:textId="77777777" w:rsidR="00B00E9B" w:rsidRDefault="00602F2C">
            <w:r>
              <w:t>187/21</w:t>
            </w:r>
          </w:p>
        </w:tc>
        <w:tc>
          <w:tcPr>
            <w:tcW w:w="8191" w:type="dxa"/>
          </w:tcPr>
          <w:p w14:paraId="53D99FAA" w14:textId="77777777" w:rsidR="00B00E9B" w:rsidRDefault="00602F2C">
            <w:pPr>
              <w:rPr>
                <w:b/>
                <w:bCs/>
              </w:rPr>
            </w:pPr>
            <w:r>
              <w:rPr>
                <w:b/>
                <w:bCs/>
              </w:rPr>
              <w:t>Any Other Business</w:t>
            </w:r>
          </w:p>
          <w:p w14:paraId="5ECF27FB" w14:textId="77777777" w:rsidR="00B00E9B" w:rsidRDefault="00602F2C">
            <w:r>
              <w:lastRenderedPageBreak/>
              <w:t xml:space="preserve">The group discussed the policies document further as it is the document that needs the most work.  Noted that Toby </w:t>
            </w:r>
            <w:proofErr w:type="spellStart"/>
            <w:r>
              <w:t>Ayling</w:t>
            </w:r>
            <w:proofErr w:type="spellEnd"/>
            <w:r>
              <w:t xml:space="preserve"> advised the group that the document needs to be published to help the Parish Council commenting on current planning applications.  </w:t>
            </w:r>
          </w:p>
          <w:p w14:paraId="4C3D9F40" w14:textId="77777777" w:rsidR="00B00E9B" w:rsidRDefault="00602F2C">
            <w:r>
              <w:rPr>
                <w:b/>
                <w:bCs/>
              </w:rPr>
              <w:t>Action</w:t>
            </w:r>
            <w:r>
              <w:t xml:space="preserve"> Finalisation of the policies document to commence ready for publication.  JT to guide this process but to invite absent members from the group along to the working party.  Working party is JT, SJ, AC but all are invited.  The party will meet via Zoom which will be organised via JT.</w:t>
            </w:r>
          </w:p>
        </w:tc>
        <w:tc>
          <w:tcPr>
            <w:tcW w:w="992" w:type="dxa"/>
          </w:tcPr>
          <w:p w14:paraId="731336A2" w14:textId="77777777" w:rsidR="00B00E9B" w:rsidRDefault="00B00E9B"/>
          <w:p w14:paraId="4323E3A1" w14:textId="77777777" w:rsidR="00B00E9B" w:rsidRDefault="00B00E9B"/>
          <w:p w14:paraId="52E07E37" w14:textId="77777777" w:rsidR="00B00E9B" w:rsidRDefault="00B00E9B"/>
          <w:p w14:paraId="0956DEF2" w14:textId="77777777" w:rsidR="00B00E9B" w:rsidRDefault="00B00E9B"/>
          <w:p w14:paraId="64B3B105" w14:textId="77777777" w:rsidR="00B00E9B" w:rsidRDefault="00602F2C">
            <w:r>
              <w:t>JT</w:t>
            </w:r>
          </w:p>
        </w:tc>
      </w:tr>
      <w:tr w:rsidR="00B00E9B" w14:paraId="75DA9411" w14:textId="77777777">
        <w:tc>
          <w:tcPr>
            <w:tcW w:w="1160" w:type="dxa"/>
          </w:tcPr>
          <w:p w14:paraId="3FBA53BE" w14:textId="77777777" w:rsidR="00B00E9B" w:rsidRDefault="00602F2C">
            <w:r>
              <w:lastRenderedPageBreak/>
              <w:t>188/21</w:t>
            </w:r>
          </w:p>
        </w:tc>
        <w:tc>
          <w:tcPr>
            <w:tcW w:w="8191" w:type="dxa"/>
          </w:tcPr>
          <w:p w14:paraId="6A2B83AD" w14:textId="77777777" w:rsidR="00B00E9B" w:rsidRDefault="00602F2C">
            <w:pPr>
              <w:rPr>
                <w:b/>
                <w:bCs/>
              </w:rPr>
            </w:pPr>
            <w:r>
              <w:rPr>
                <w:b/>
                <w:bCs/>
              </w:rPr>
              <w:t>Date of next meeting  10 May 2021.</w:t>
            </w:r>
          </w:p>
        </w:tc>
        <w:tc>
          <w:tcPr>
            <w:tcW w:w="992" w:type="dxa"/>
          </w:tcPr>
          <w:p w14:paraId="22677404" w14:textId="77777777" w:rsidR="00B00E9B" w:rsidRDefault="00B00E9B"/>
        </w:tc>
      </w:tr>
    </w:tbl>
    <w:p w14:paraId="5D6F4F7A" w14:textId="77777777" w:rsidR="00B00E9B" w:rsidRDefault="00602F2C">
      <w:pPr>
        <w:widowControl/>
        <w:spacing w:after="160" w:line="259" w:lineRule="auto"/>
        <w:rPr>
          <w:rFonts w:cs="Times New Roman"/>
          <w:i/>
          <w:iCs/>
          <w:kern w:val="0"/>
          <w:sz w:val="22"/>
          <w:szCs w:val="22"/>
        </w:rPr>
      </w:pPr>
      <w:r>
        <w:rPr>
          <w:rFonts w:cs="Times New Roman"/>
          <w:i/>
          <w:iCs/>
          <w:kern w:val="0"/>
          <w:sz w:val="22"/>
          <w:szCs w:val="22"/>
        </w:rPr>
        <w:t>Meeting closed 2009hrs</w:t>
      </w:r>
    </w:p>
    <w:sectPr w:rsidR="00B00E9B">
      <w:type w:val="continuous"/>
      <w:pgSz w:w="11907" w:h="16839"/>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31771C"/>
    <w:multiLevelType w:val="hybridMultilevel"/>
    <w:tmpl w:val="593E2492"/>
    <w:lvl w:ilvl="0" w:tplc="5C187A68">
      <w:numFmt w:val="none"/>
      <w:lvlText w:val=""/>
      <w:lvlJc w:val="left"/>
      <w:pPr>
        <w:tabs>
          <w:tab w:val="num" w:pos="360"/>
        </w:tabs>
        <w:ind w:left="360" w:hanging="360"/>
      </w:pPr>
    </w:lvl>
    <w:lvl w:ilvl="1" w:tplc="7B888A08">
      <w:numFmt w:val="none"/>
      <w:lvlText w:val=""/>
      <w:lvlJc w:val="left"/>
      <w:pPr>
        <w:tabs>
          <w:tab w:val="num" w:pos="360"/>
        </w:tabs>
        <w:ind w:left="360" w:hanging="360"/>
      </w:pPr>
    </w:lvl>
    <w:lvl w:ilvl="2" w:tplc="FB3CC772">
      <w:numFmt w:val="none"/>
      <w:lvlText w:val=""/>
      <w:lvlJc w:val="left"/>
      <w:pPr>
        <w:tabs>
          <w:tab w:val="num" w:pos="360"/>
        </w:tabs>
        <w:ind w:left="360" w:hanging="360"/>
      </w:pPr>
    </w:lvl>
    <w:lvl w:ilvl="3" w:tplc="E75069CA">
      <w:numFmt w:val="none"/>
      <w:lvlText w:val=""/>
      <w:lvlJc w:val="left"/>
      <w:pPr>
        <w:tabs>
          <w:tab w:val="num" w:pos="360"/>
        </w:tabs>
        <w:ind w:left="360" w:hanging="360"/>
      </w:pPr>
    </w:lvl>
    <w:lvl w:ilvl="4" w:tplc="E6E8E9BA">
      <w:numFmt w:val="none"/>
      <w:lvlText w:val=""/>
      <w:lvlJc w:val="left"/>
      <w:pPr>
        <w:tabs>
          <w:tab w:val="num" w:pos="360"/>
        </w:tabs>
        <w:ind w:left="360" w:hanging="360"/>
      </w:pPr>
    </w:lvl>
    <w:lvl w:ilvl="5" w:tplc="1E7E5196">
      <w:numFmt w:val="none"/>
      <w:lvlText w:val=""/>
      <w:lvlJc w:val="left"/>
      <w:pPr>
        <w:tabs>
          <w:tab w:val="num" w:pos="360"/>
        </w:tabs>
        <w:ind w:left="360" w:hanging="360"/>
      </w:pPr>
    </w:lvl>
    <w:lvl w:ilvl="6" w:tplc="78B88912">
      <w:numFmt w:val="none"/>
      <w:lvlText w:val=""/>
      <w:lvlJc w:val="left"/>
      <w:pPr>
        <w:tabs>
          <w:tab w:val="num" w:pos="360"/>
        </w:tabs>
        <w:ind w:left="360" w:hanging="360"/>
      </w:pPr>
    </w:lvl>
    <w:lvl w:ilvl="7" w:tplc="135AB5A0">
      <w:numFmt w:val="none"/>
      <w:lvlText w:val=""/>
      <w:lvlJc w:val="left"/>
      <w:pPr>
        <w:tabs>
          <w:tab w:val="num" w:pos="360"/>
        </w:tabs>
        <w:ind w:left="360" w:hanging="360"/>
      </w:pPr>
    </w:lvl>
    <w:lvl w:ilvl="8" w:tplc="6E2C2856">
      <w:numFmt w:val="none"/>
      <w:lvlText w:val=""/>
      <w:lvlJc w:val="left"/>
      <w:pPr>
        <w:tabs>
          <w:tab w:val="num" w:pos="360"/>
        </w:tabs>
        <w:ind w:left="360" w:hanging="360"/>
      </w:pPr>
    </w:lvl>
  </w:abstractNum>
  <w:abstractNum w:abstractNumId="1" w15:restartNumberingAfterBreak="0">
    <w:nsid w:val="67F72C01"/>
    <w:multiLevelType w:val="hybridMultilevel"/>
    <w:tmpl w:val="BDCA60D2"/>
    <w:name w:val="Numbered list 4"/>
    <w:lvl w:ilvl="0" w:tplc="DB14097A">
      <w:start w:val="1"/>
      <w:numFmt w:val="lowerRoman"/>
      <w:lvlText w:val="%1)"/>
      <w:lvlJc w:val="left"/>
      <w:pPr>
        <w:ind w:left="360" w:firstLine="0"/>
      </w:pPr>
    </w:lvl>
    <w:lvl w:ilvl="1" w:tplc="F834AA7A">
      <w:start w:val="1"/>
      <w:numFmt w:val="lowerLetter"/>
      <w:lvlText w:val="%2."/>
      <w:lvlJc w:val="left"/>
      <w:pPr>
        <w:ind w:left="1080" w:firstLine="0"/>
      </w:pPr>
    </w:lvl>
    <w:lvl w:ilvl="2" w:tplc="8E56227C">
      <w:start w:val="1"/>
      <w:numFmt w:val="lowerRoman"/>
      <w:lvlText w:val="%3."/>
      <w:lvlJc w:val="left"/>
      <w:pPr>
        <w:ind w:left="1980" w:firstLine="0"/>
      </w:pPr>
    </w:lvl>
    <w:lvl w:ilvl="3" w:tplc="58A876C2">
      <w:start w:val="1"/>
      <w:numFmt w:val="decimal"/>
      <w:lvlText w:val="%4."/>
      <w:lvlJc w:val="left"/>
      <w:pPr>
        <w:ind w:left="2520" w:firstLine="0"/>
      </w:pPr>
    </w:lvl>
    <w:lvl w:ilvl="4" w:tplc="86CCAC34">
      <w:start w:val="1"/>
      <w:numFmt w:val="lowerLetter"/>
      <w:lvlText w:val="%5."/>
      <w:lvlJc w:val="left"/>
      <w:pPr>
        <w:ind w:left="3240" w:firstLine="0"/>
      </w:pPr>
    </w:lvl>
    <w:lvl w:ilvl="5" w:tplc="F31E807A">
      <w:start w:val="1"/>
      <w:numFmt w:val="lowerRoman"/>
      <w:lvlText w:val="%6."/>
      <w:lvlJc w:val="left"/>
      <w:pPr>
        <w:ind w:left="4140" w:firstLine="0"/>
      </w:pPr>
    </w:lvl>
    <w:lvl w:ilvl="6" w:tplc="3E5EECD8">
      <w:start w:val="1"/>
      <w:numFmt w:val="decimal"/>
      <w:lvlText w:val="%7."/>
      <w:lvlJc w:val="left"/>
      <w:pPr>
        <w:ind w:left="4680" w:firstLine="0"/>
      </w:pPr>
    </w:lvl>
    <w:lvl w:ilvl="7" w:tplc="D646B9CC">
      <w:start w:val="1"/>
      <w:numFmt w:val="lowerLetter"/>
      <w:lvlText w:val="%8."/>
      <w:lvlJc w:val="left"/>
      <w:pPr>
        <w:ind w:left="5400" w:firstLine="0"/>
      </w:pPr>
    </w:lvl>
    <w:lvl w:ilvl="8" w:tplc="4E0A38DA">
      <w:start w:val="1"/>
      <w:numFmt w:val="lowerRoman"/>
      <w:lvlText w:val="%9."/>
      <w:lvlJc w:val="left"/>
      <w:pPr>
        <w:ind w:left="6300" w:firstLine="0"/>
      </w:pPr>
    </w:lvl>
  </w:abstractNum>
  <w:abstractNum w:abstractNumId="2" w15:restartNumberingAfterBreak="0">
    <w:nsid w:val="69332923"/>
    <w:multiLevelType w:val="hybridMultilevel"/>
    <w:tmpl w:val="C0F045B8"/>
    <w:name w:val="Numbered list 13"/>
    <w:lvl w:ilvl="0" w:tplc="F5A2D9EE">
      <w:start w:val="1"/>
      <w:numFmt w:val="lowerRoman"/>
      <w:lvlText w:val="%1)"/>
      <w:lvlJc w:val="left"/>
      <w:pPr>
        <w:ind w:left="360" w:firstLine="0"/>
      </w:pPr>
    </w:lvl>
    <w:lvl w:ilvl="1" w:tplc="019E5466">
      <w:start w:val="1"/>
      <w:numFmt w:val="lowerLetter"/>
      <w:lvlText w:val="%2."/>
      <w:lvlJc w:val="left"/>
      <w:pPr>
        <w:ind w:left="1080" w:firstLine="0"/>
      </w:pPr>
    </w:lvl>
    <w:lvl w:ilvl="2" w:tplc="31447DDE">
      <w:start w:val="1"/>
      <w:numFmt w:val="lowerRoman"/>
      <w:lvlText w:val="%3."/>
      <w:lvlJc w:val="left"/>
      <w:pPr>
        <w:ind w:left="1980" w:firstLine="0"/>
      </w:pPr>
    </w:lvl>
    <w:lvl w:ilvl="3" w:tplc="46E4F602">
      <w:start w:val="1"/>
      <w:numFmt w:val="decimal"/>
      <w:lvlText w:val="%4."/>
      <w:lvlJc w:val="left"/>
      <w:pPr>
        <w:ind w:left="2520" w:firstLine="0"/>
      </w:pPr>
    </w:lvl>
    <w:lvl w:ilvl="4" w:tplc="6A300D8A">
      <w:start w:val="1"/>
      <w:numFmt w:val="lowerLetter"/>
      <w:lvlText w:val="%5."/>
      <w:lvlJc w:val="left"/>
      <w:pPr>
        <w:ind w:left="3240" w:firstLine="0"/>
      </w:pPr>
    </w:lvl>
    <w:lvl w:ilvl="5" w:tplc="DEB6A8BA">
      <w:start w:val="1"/>
      <w:numFmt w:val="lowerRoman"/>
      <w:lvlText w:val="%6."/>
      <w:lvlJc w:val="left"/>
      <w:pPr>
        <w:ind w:left="4140" w:firstLine="0"/>
      </w:pPr>
    </w:lvl>
    <w:lvl w:ilvl="6" w:tplc="9BE2B4B6">
      <w:start w:val="1"/>
      <w:numFmt w:val="decimal"/>
      <w:lvlText w:val="%7."/>
      <w:lvlJc w:val="left"/>
      <w:pPr>
        <w:ind w:left="4680" w:firstLine="0"/>
      </w:pPr>
    </w:lvl>
    <w:lvl w:ilvl="7" w:tplc="590A2E16">
      <w:start w:val="1"/>
      <w:numFmt w:val="lowerLetter"/>
      <w:lvlText w:val="%8."/>
      <w:lvlJc w:val="left"/>
      <w:pPr>
        <w:ind w:left="5400" w:firstLine="0"/>
      </w:pPr>
    </w:lvl>
    <w:lvl w:ilvl="8" w:tplc="4F1C48A2">
      <w:start w:val="1"/>
      <w:numFmt w:val="lowerRoman"/>
      <w:lvlText w:val="%9."/>
      <w:lvlJc w:val="left"/>
      <w:pPr>
        <w:ind w:left="630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drawingGridHorizontalSpacing w:val="283"/>
  <w:drawingGridVerticalSpacing w:val="283"/>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E9B"/>
    <w:rsid w:val="00234A9D"/>
    <w:rsid w:val="00476FE9"/>
    <w:rsid w:val="00602F2C"/>
    <w:rsid w:val="00B00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72F38"/>
  <w15:docId w15:val="{2F918CCC-5F33-44D0-86B7-527D5BF3F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kern w:val="1"/>
        <w:sz w:val="24"/>
        <w:szCs w:val="24"/>
        <w:lang w:val="en-GB"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widowControl/>
      <w:spacing w:after="160" w:line="259" w:lineRule="auto"/>
      <w:ind w:left="720"/>
      <w:contextualSpacing/>
    </w:pPr>
    <w:rPr>
      <w:rFonts w:cs="Times New Roman"/>
      <w:kern w:val="0"/>
      <w:sz w:val="22"/>
      <w:szCs w:val="22"/>
    </w:rPr>
  </w:style>
  <w:style w:type="table" w:styleId="TableGrid">
    <w:name w:val="Table Grid"/>
    <w:basedOn w:val="TableNormal"/>
    <w:uiPriority w:val="59"/>
    <w:pPr>
      <w:widowControl/>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Calibri"/>
        <a:cs typeface="Arial"/>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6048</Characters>
  <Application>Microsoft Office Word</Application>
  <DocSecurity>0</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Towers</dc:creator>
  <cp:keywords/>
  <dc:description/>
  <cp:lastModifiedBy>Bambi Jones</cp:lastModifiedBy>
  <cp:revision>2</cp:revision>
  <dcterms:created xsi:type="dcterms:W3CDTF">2021-04-26T11:33:00Z</dcterms:created>
  <dcterms:modified xsi:type="dcterms:W3CDTF">2021-04-26T11:33:00Z</dcterms:modified>
</cp:coreProperties>
</file>